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8D33DB">
        <w:rPr>
          <w:rFonts w:ascii="Verdana" w:hAnsi="Verdana" w:cs="Verdana"/>
          <w:color w:val="000000"/>
          <w:sz w:val="20"/>
          <w:szCs w:val="20"/>
        </w:rPr>
        <w:t xml:space="preserve">de </w:t>
      </w:r>
      <w:r w:rsidR="00C35779">
        <w:rPr>
          <w:rFonts w:ascii="Calibri" w:hAnsi="Calibri" w:cs="Calibri"/>
        </w:rPr>
        <w:t>Serviços de Segurança, Higiene e Saúde no Trabalho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5A355B" w:rsidRDefault="005A355B" w:rsidP="005A355B">
      <w:pPr>
        <w:pStyle w:val="PargrafodaLista"/>
        <w:tabs>
          <w:tab w:val="left" w:pos="360"/>
        </w:tabs>
        <w:autoSpaceDE w:val="0"/>
        <w:autoSpaceDN w:val="0"/>
        <w:adjustRightInd w:val="0"/>
        <w:spacing w:after="0" w:line="240" w:lineRule="auto"/>
        <w:ind w:left="0"/>
        <w:jc w:val="both"/>
        <w:rPr>
          <w:rFonts w:ascii="Verdana" w:hAnsi="Verdana" w:cs="Verdana"/>
          <w:color w:val="000000"/>
          <w:sz w:val="20"/>
          <w:szCs w:val="20"/>
        </w:rPr>
      </w:pPr>
    </w:p>
    <w:p w:rsidR="00AB1A87" w:rsidRPr="00AB1A87" w:rsidRDefault="00F86375" w:rsidP="005A355B">
      <w:pPr>
        <w:pStyle w:val="PargrafodaLista"/>
        <w:tabs>
          <w:tab w:val="left" w:pos="360"/>
        </w:tabs>
        <w:autoSpaceDE w:val="0"/>
        <w:autoSpaceDN w:val="0"/>
        <w:adjustRightInd w:val="0"/>
        <w:spacing w:after="0" w:line="240" w:lineRule="auto"/>
        <w:ind w:left="0"/>
        <w:jc w:val="both"/>
        <w:rPr>
          <w:rFonts w:ascii="Times New Roman" w:hAnsi="Times New Roman" w:cs="Times New Roman"/>
          <w:sz w:val="24"/>
          <w:szCs w:val="24"/>
        </w:rPr>
      </w:pPr>
      <w:r w:rsidRPr="00AB1A87">
        <w:rPr>
          <w:rFonts w:ascii="Verdana" w:hAnsi="Verdana" w:cs="Verdana"/>
          <w:color w:val="000000"/>
          <w:sz w:val="20"/>
          <w:szCs w:val="20"/>
        </w:rPr>
        <w:t>O presente convite é efetuado ao abrigo do “</w:t>
      </w:r>
      <w:r w:rsidR="00C35779">
        <w:rPr>
          <w:rFonts w:ascii="Verdana" w:hAnsi="Verdana" w:cs="Verdana"/>
          <w:color w:val="000000"/>
          <w:sz w:val="20"/>
          <w:szCs w:val="20"/>
        </w:rPr>
        <w:t xml:space="preserve">Acordo Quadro </w:t>
      </w:r>
      <w:r w:rsidR="00DA0508">
        <w:rPr>
          <w:rFonts w:ascii="Verdana" w:hAnsi="Verdana" w:cs="Verdana"/>
          <w:color w:val="000000"/>
          <w:sz w:val="20"/>
          <w:szCs w:val="20"/>
        </w:rPr>
        <w:t xml:space="preserve">para </w:t>
      </w:r>
      <w:r w:rsidR="00D71558">
        <w:rPr>
          <w:rFonts w:ascii="Verdana" w:hAnsi="Verdana" w:cs="Verdana"/>
          <w:color w:val="000000"/>
          <w:sz w:val="20"/>
          <w:szCs w:val="20"/>
        </w:rPr>
        <w:t>a a</w:t>
      </w:r>
      <w:bookmarkStart w:id="0" w:name="_GoBack"/>
      <w:bookmarkEnd w:id="0"/>
      <w:r w:rsidR="00D71558">
        <w:rPr>
          <w:rFonts w:ascii="Verdana" w:hAnsi="Verdana" w:cs="Verdana"/>
          <w:color w:val="000000"/>
          <w:sz w:val="20"/>
          <w:szCs w:val="20"/>
        </w:rPr>
        <w:t>quisição</w:t>
      </w:r>
      <w:r w:rsidR="00DA0508">
        <w:rPr>
          <w:rFonts w:ascii="Verdana" w:hAnsi="Verdana" w:cs="Verdana"/>
          <w:color w:val="000000"/>
          <w:sz w:val="20"/>
          <w:szCs w:val="20"/>
        </w:rPr>
        <w:t xml:space="preserve"> </w:t>
      </w:r>
      <w:r w:rsidR="00C35779">
        <w:rPr>
          <w:rFonts w:ascii="Verdana" w:hAnsi="Verdana" w:cs="Verdana"/>
          <w:color w:val="000000"/>
          <w:sz w:val="20"/>
          <w:szCs w:val="20"/>
        </w:rPr>
        <w:t xml:space="preserve">de </w:t>
      </w:r>
      <w:r w:rsidR="00C35779" w:rsidRPr="00C35779">
        <w:rPr>
          <w:rFonts w:ascii="Verdana" w:hAnsi="Verdana" w:cs="Verdana"/>
          <w:color w:val="000000"/>
          <w:sz w:val="20"/>
          <w:szCs w:val="20"/>
        </w:rPr>
        <w:t>Serviços de Segurança, Higiene e Saúde no Trabalho</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w:t>
      </w:r>
      <w:r w:rsidR="00DA0508">
        <w:rPr>
          <w:rFonts w:ascii="Verdana" w:hAnsi="Verdana" w:cs="Verdana"/>
          <w:color w:val="000000"/>
          <w:sz w:val="20"/>
          <w:szCs w:val="20"/>
        </w:rPr>
        <w:t>a Comunidade Intermunicipal</w:t>
      </w:r>
      <w:r w:rsidR="00D50D81">
        <w:rPr>
          <w:rFonts w:ascii="Verdana" w:hAnsi="Verdana" w:cs="Verdana"/>
          <w:color w:val="000000"/>
          <w:sz w:val="20"/>
          <w:szCs w:val="20"/>
        </w:rPr>
        <w:t xml:space="preserve"> Viseu Dão Lafões</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r w:rsidR="00111E00" w:rsidRPr="008D33DB">
        <w:rPr>
          <w:rFonts w:ascii="Verdana" w:hAnsi="Verdana" w:cs="Verdana"/>
          <w:color w:val="548DD4" w:themeColor="text2" w:themeTint="99"/>
          <w:sz w:val="20"/>
          <w:szCs w:val="20"/>
        </w:rPr>
        <w:t>[</w:t>
      </w:r>
      <w:r w:rsidR="00111E00">
        <w:rPr>
          <w:rFonts w:ascii="Verdana" w:hAnsi="Verdana" w:cs="Verdana"/>
          <w:color w:val="548DD4" w:themeColor="text2" w:themeTint="99"/>
          <w:sz w:val="20"/>
          <w:szCs w:val="20"/>
        </w:rPr>
        <w:t>se aplicável</w:t>
      </w:r>
      <w:r w:rsidR="00111E00" w:rsidRPr="008D33DB">
        <w:rPr>
          <w:rFonts w:ascii="Verdana" w:hAnsi="Verdana" w:cs="Verdana"/>
          <w:color w:val="548DD4" w:themeColor="text2" w:themeTint="99"/>
          <w:sz w:val="20"/>
          <w:szCs w:val="20"/>
        </w:rPr>
        <w:t>]</w:t>
      </w:r>
      <w:r w:rsidR="00111E00">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111E00" w:rsidRPr="00111E00" w:rsidRDefault="00111E00" w:rsidP="00111E00">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Preço, com ponderação mínima de 70% (setenta por cento);</w:t>
      </w:r>
    </w:p>
    <w:p w:rsidR="00111E00" w:rsidRPr="00111E00" w:rsidRDefault="00111E00" w:rsidP="00111E00">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Níveis de serviço associados à prestação do serviço podendo ser ponderados os seguintes subfactores:</w:t>
      </w:r>
    </w:p>
    <w:p w:rsidR="00111E00" w:rsidRPr="00111E00" w:rsidRDefault="00111E00" w:rsidP="00111E00">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Metodologias de abordagem;</w:t>
      </w:r>
    </w:p>
    <w:p w:rsidR="00111E00" w:rsidRPr="00111E00" w:rsidRDefault="00111E00" w:rsidP="00111E00">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Prazo de execução;</w:t>
      </w:r>
    </w:p>
    <w:p w:rsidR="00111E00" w:rsidRPr="00111E00" w:rsidRDefault="00111E00" w:rsidP="00111E00">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Prazos de pagamento;</w:t>
      </w:r>
    </w:p>
    <w:p w:rsidR="00111E00" w:rsidRPr="00111E00" w:rsidRDefault="00111E00" w:rsidP="00111E00">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111E00">
        <w:rPr>
          <w:rFonts w:ascii="Verdana" w:eastAsiaTheme="minorHAnsi" w:hAnsi="Verdana" w:cs="Verdana"/>
          <w:color w:val="548DD4" w:themeColor="text2" w:themeTint="99"/>
          <w:sz w:val="20"/>
          <w:szCs w:val="20"/>
        </w:rPr>
        <w:t>Outros níveis de serviço.</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lastRenderedPageBreak/>
        <w:t xml:space="preserve">Para efeitos de avaliação do fator preço, a entidade adquirente deverá ponderar os preços propostos de acordo com o seu perfil de necessidade. </w:t>
      </w:r>
      <w:r w:rsidR="00AB1A87" w:rsidRPr="00CC5B67">
        <w:rPr>
          <w:rFonts w:ascii="Verdana" w:hAnsi="Verdana" w:cs="Verdana"/>
          <w:color w:val="548DD4" w:themeColor="text2" w:themeTint="99"/>
          <w:sz w:val="20"/>
          <w:szCs w:val="20"/>
        </w:rPr>
        <w:t>[indicação do anexo onde consta a formula de avaliação]</w:t>
      </w: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t xml:space="preserve">Para efeitos da avaliação dos outros níveis de serviço previstos em </w:t>
      </w:r>
      <w:proofErr w:type="spellStart"/>
      <w:r w:rsidRPr="00CC5B67">
        <w:rPr>
          <w:rFonts w:ascii="Verdana" w:hAnsi="Verdana" w:cs="Calibri"/>
          <w:color w:val="auto"/>
          <w:sz w:val="20"/>
          <w:szCs w:val="20"/>
        </w:rPr>
        <w:t>iv</w:t>
      </w:r>
      <w:proofErr w:type="spellEnd"/>
      <w:r w:rsidRPr="00CC5B67">
        <w:rPr>
          <w:rFonts w:ascii="Verdana" w:hAnsi="Verdana" w:cs="Calibri"/>
          <w:color w:val="auto"/>
          <w:sz w:val="20"/>
          <w:szCs w:val="20"/>
        </w:rPr>
        <w:t>) na alínea b) do n.º 2 poderá ser valorizado o apoio técnico e administrativo, acompanhamento e gestão processual, Portal web de apoio ao cliente, entre outros</w:t>
      </w:r>
      <w:r w:rsidR="00AB1A87" w:rsidRPr="00CC5B67">
        <w:rPr>
          <w:rFonts w:ascii="Verdana" w:eastAsiaTheme="minorHAnsi" w:hAnsi="Verdana" w:cs="Verdana"/>
          <w:sz w:val="20"/>
          <w:szCs w:val="20"/>
        </w:rPr>
        <w:t>.</w:t>
      </w:r>
      <w:r w:rsidR="00AB1A87" w:rsidRPr="00CC5B67">
        <w:rPr>
          <w:rFonts w:ascii="Verdana" w:hAnsi="Verdana" w:cs="Verdana"/>
          <w:color w:val="548DD4" w:themeColor="text2" w:themeTint="99"/>
          <w:sz w:val="20"/>
          <w:szCs w:val="20"/>
        </w:rPr>
        <w:t xml:space="preserve"> [eliminar o que não for aplicável]</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F86375">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1. O adjudicatári</w:t>
      </w:r>
      <w:r w:rsidR="00812A8C" w:rsidRPr="00CC5B67">
        <w:rPr>
          <w:rFonts w:ascii="Verdana" w:hAnsi="Verdana" w:cs="Verdana"/>
          <w:color w:val="000000"/>
          <w:sz w:val="20"/>
          <w:szCs w:val="20"/>
        </w:rPr>
        <w:t>o deve apresentar, no prazo de __</w:t>
      </w:r>
      <w:r w:rsidRPr="00CC5B67">
        <w:rPr>
          <w:rFonts w:ascii="Verdana" w:hAnsi="Verdana" w:cs="Verdana"/>
          <w:color w:val="000000"/>
          <w:sz w:val="20"/>
          <w:szCs w:val="20"/>
        </w:rPr>
        <w:t xml:space="preserve"> </w:t>
      </w:r>
      <w:r w:rsidRPr="00CC5B67">
        <w:rPr>
          <w:rFonts w:ascii="Verdana" w:hAnsi="Verdana" w:cs="Verdana"/>
          <w:color w:val="548DD4" w:themeColor="text2" w:themeTint="99"/>
          <w:sz w:val="20"/>
          <w:szCs w:val="20"/>
        </w:rPr>
        <w:t>[indicar o prazo]</w:t>
      </w:r>
      <w:r w:rsidRPr="00CC5B67">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CC5B67">
        <w:rPr>
          <w:rFonts w:ascii="Verdana" w:hAnsi="Verdana" w:cs="Verdana"/>
          <w:i/>
          <w:color w:val="000000"/>
          <w:sz w:val="20"/>
          <w:szCs w:val="20"/>
        </w:rPr>
        <w:t>online</w:t>
      </w:r>
      <w:proofErr w:type="gramEnd"/>
      <w:r w:rsidRPr="00CC5B67">
        <w:rPr>
          <w:rFonts w:ascii="Verdana" w:hAnsi="Verdana" w:cs="Verdana"/>
          <w:color w:val="000000"/>
          <w:sz w:val="20"/>
          <w:szCs w:val="20"/>
        </w:rPr>
        <w:t xml:space="preserve">, de que se encontra nas seguintes situações: </w:t>
      </w:r>
    </w:p>
    <w:p w:rsidR="00812A8C" w:rsidRPr="00CC5B67"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a) Situação regularizada relativamente a contribuições para a segurança social em Portugal ou, se for o caso, no Estado de que sejam nacionais ou no qual se situe o seu estabelecimento principal, nos termos da alínea d) do artigo 55.º do CCP;</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b) Situação regularizada relativamente a impostos devidos em Portugal ou, se for o caso, no Estado de que sejam nacionais ou no qual se situe o seu estabelecimento principal, nos termos da alínea e) do artigo 55.º do CCP;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c) 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d) 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e) Certidão do registo comercial, com todas as inscrições em vigor, para identificação dos titulares dos órgãos sociais de administração, Direção ou gerência que se encontrem</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proofErr w:type="gramStart"/>
      <w:r w:rsidRPr="00CC5B67">
        <w:rPr>
          <w:rFonts w:ascii="Verdana" w:eastAsia="Times New Roman" w:hAnsi="Verdana" w:cs="Calibri"/>
          <w:sz w:val="20"/>
          <w:szCs w:val="20"/>
        </w:rPr>
        <w:t>em</w:t>
      </w:r>
      <w:proofErr w:type="gramEnd"/>
      <w:r w:rsidRPr="00CC5B67">
        <w:rPr>
          <w:rFonts w:ascii="Verdana" w:eastAsia="Times New Roman" w:hAnsi="Verdana" w:cs="Calibri"/>
          <w:sz w:val="20"/>
          <w:szCs w:val="20"/>
        </w:rPr>
        <w:t xml:space="preserve"> efetividade de funções;  </w:t>
      </w:r>
    </w:p>
    <w:p w:rsidR="00812A8C"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f)</w:t>
      </w:r>
      <w:r w:rsidRPr="00CC5B67">
        <w:rPr>
          <w:rFonts w:ascii="Verdana" w:hAnsi="Verdana" w:cs="Arial"/>
          <w:color w:val="000000"/>
          <w:sz w:val="20"/>
          <w:szCs w:val="20"/>
        </w:rPr>
        <w:t xml:space="preserve"> </w:t>
      </w:r>
      <w:r w:rsidRPr="00CC5B67">
        <w:rPr>
          <w:rFonts w:ascii="Verdana" w:hAnsi="Verdana" w:cs="Verdana"/>
          <w:color w:val="548DD4" w:themeColor="text2" w:themeTint="99"/>
          <w:sz w:val="20"/>
          <w:szCs w:val="20"/>
        </w:rPr>
        <w:t>[indicar outros documentos nos termos do n.º 1 do artigo 126.º do CCP]</w:t>
      </w:r>
      <w:r w:rsidRPr="00CC5B67">
        <w:rPr>
          <w:rFonts w:ascii="Verdana" w:hAnsi="Verdana" w:cs="Verdana"/>
          <w:color w:val="000000"/>
          <w:sz w:val="20"/>
          <w:szCs w:val="20"/>
        </w:rPr>
        <w:t>.</w:t>
      </w:r>
    </w:p>
    <w:p w:rsidR="0041460B" w:rsidRPr="00CC5B67" w:rsidRDefault="0041460B" w:rsidP="0041460B">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 xml:space="preserve"> </w:t>
      </w:r>
    </w:p>
    <w:p w:rsidR="0041460B"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sidRPr="00CC5B67">
        <w:rPr>
          <w:rFonts w:ascii="Verdana" w:hAnsi="Verdana" w:cs="Verdana"/>
          <w:color w:val="000000"/>
          <w:sz w:val="20"/>
          <w:szCs w:val="20"/>
        </w:rPr>
        <w:t xml:space="preserve">__ </w:t>
      </w:r>
      <w:r w:rsidR="00812A8C" w:rsidRPr="00CC5B67">
        <w:rPr>
          <w:rFonts w:ascii="Verdana" w:hAnsi="Verdana" w:cs="Verdana"/>
          <w:color w:val="548DD4" w:themeColor="text2" w:themeTint="99"/>
          <w:sz w:val="20"/>
          <w:szCs w:val="20"/>
        </w:rPr>
        <w:t>[Dias]</w:t>
      </w:r>
      <w:r w:rsidRPr="00CC5B67">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lastRenderedPageBreak/>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75"/>
    <w:rsid w:val="00001014"/>
    <w:rsid w:val="00110286"/>
    <w:rsid w:val="00111E00"/>
    <w:rsid w:val="002A6047"/>
    <w:rsid w:val="0041460B"/>
    <w:rsid w:val="004D3072"/>
    <w:rsid w:val="005A355B"/>
    <w:rsid w:val="00812A8C"/>
    <w:rsid w:val="00837723"/>
    <w:rsid w:val="008D33DB"/>
    <w:rsid w:val="008E0302"/>
    <w:rsid w:val="00AB1A87"/>
    <w:rsid w:val="00BD3966"/>
    <w:rsid w:val="00C24473"/>
    <w:rsid w:val="00C35779"/>
    <w:rsid w:val="00C769E9"/>
    <w:rsid w:val="00CB444E"/>
    <w:rsid w:val="00CC5B67"/>
    <w:rsid w:val="00D50D81"/>
    <w:rsid w:val="00D641F5"/>
    <w:rsid w:val="00D71558"/>
    <w:rsid w:val="00DA0508"/>
    <w:rsid w:val="00EB58CF"/>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F4CB4-B27B-435C-B1B1-6504704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6586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4</cp:revision>
  <dcterms:created xsi:type="dcterms:W3CDTF">2016-08-05T14:55:00Z</dcterms:created>
  <dcterms:modified xsi:type="dcterms:W3CDTF">2016-08-05T15:40:00Z</dcterms:modified>
</cp:coreProperties>
</file>